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5400" w14:textId="77777777" w:rsidR="001E629D" w:rsidRDefault="001E629D" w:rsidP="001E629D">
      <w:pPr>
        <w:spacing w:after="0" w:line="240" w:lineRule="auto"/>
        <w:jc w:val="both"/>
        <w:rPr>
          <w:rFonts w:ascii="Arial" w:hAnsi="Arial" w:cs="Arial"/>
          <w:b/>
          <w:bCs/>
          <w:lang w:eastAsia="zh-CN"/>
        </w:rPr>
      </w:pPr>
      <w:r>
        <w:rPr>
          <w:rFonts w:ascii="Arial" w:hAnsi="Arial" w:cs="Arial"/>
          <w:b/>
          <w:bCs/>
          <w:lang w:eastAsia="zh-CN"/>
        </w:rPr>
        <w:t xml:space="preserve">Nous sommes heureux de vous </w:t>
      </w:r>
      <w:r>
        <w:rPr>
          <w:rFonts w:ascii="Arial" w:hAnsi="Arial" w:cs="Arial"/>
          <w:b/>
          <w:bCs/>
          <w:lang w:eastAsia="zh-CN"/>
        </w:rPr>
        <w:t xml:space="preserve">faire </w:t>
      </w:r>
      <w:r>
        <w:rPr>
          <w:rFonts w:ascii="Arial" w:hAnsi="Arial" w:cs="Arial"/>
          <w:b/>
          <w:bCs/>
          <w:lang w:eastAsia="zh-CN"/>
        </w:rPr>
        <w:t xml:space="preserve">part des développements encourageants dans le combat contre le commerce illégal d’HFC et d’annoncer les plans à venir dans la campagne. </w:t>
      </w:r>
    </w:p>
    <w:p w14:paraId="4B39C074" w14:textId="54CA75D5" w:rsidR="001E629D" w:rsidRPr="001E629D" w:rsidRDefault="001E629D" w:rsidP="001E629D">
      <w:pPr>
        <w:spacing w:after="0" w:line="240" w:lineRule="auto"/>
        <w:jc w:val="both"/>
      </w:pPr>
      <w:r>
        <w:rPr>
          <w:rFonts w:ascii="Arial" w:hAnsi="Arial" w:cs="Arial"/>
          <w:b/>
          <w:bCs/>
          <w:lang w:eastAsia="zh-CN"/>
        </w:rPr>
        <w:t xml:space="preserve">L’été a été relativement occupé pour les autorités, les médias et les décideurs de l’Union Européenne qui restent engagés dans le sujet de l’importation illégale d’HFC. </w:t>
      </w:r>
    </w:p>
    <w:p w14:paraId="0198F012" w14:textId="77777777" w:rsidR="001E629D" w:rsidRPr="001E629D" w:rsidRDefault="001E629D" w:rsidP="001E629D">
      <w:pPr>
        <w:spacing w:after="0" w:line="240" w:lineRule="auto"/>
        <w:jc w:val="both"/>
      </w:pPr>
      <w:r>
        <w:rPr>
          <w:rFonts w:ascii="Arial" w:hAnsi="Arial" w:cs="Arial"/>
          <w:color w:val="0E101A"/>
          <w:sz w:val="20"/>
          <w:szCs w:val="20"/>
          <w:lang w:eastAsia="zh-CN"/>
        </w:rPr>
        <w:t> </w:t>
      </w:r>
    </w:p>
    <w:p w14:paraId="633E926B" w14:textId="77777777" w:rsidR="001E629D" w:rsidRPr="001E629D" w:rsidRDefault="001E629D" w:rsidP="001E629D">
      <w:pPr>
        <w:spacing w:after="0" w:line="240" w:lineRule="auto"/>
        <w:jc w:val="both"/>
      </w:pPr>
      <w:r>
        <w:rPr>
          <w:rFonts w:ascii="Arial" w:hAnsi="Arial" w:cs="Arial"/>
          <w:color w:val="0E101A"/>
          <w:sz w:val="20"/>
          <w:szCs w:val="20"/>
          <w:lang w:eastAsia="zh-CN"/>
        </w:rPr>
        <w:t xml:space="preserve">Les autorités ont eu un impact considérable avec </w:t>
      </w:r>
      <w:r>
        <w:rPr>
          <w:rFonts w:ascii="Arial" w:hAnsi="Arial" w:cs="Arial"/>
          <w:b/>
          <w:bCs/>
          <w:color w:val="0E101A"/>
          <w:sz w:val="20"/>
          <w:szCs w:val="20"/>
          <w:lang w:eastAsia="zh-CN"/>
        </w:rPr>
        <w:t>des saisies d’envergures</w:t>
      </w:r>
      <w:r>
        <w:rPr>
          <w:rFonts w:ascii="Arial" w:hAnsi="Arial" w:cs="Arial"/>
          <w:color w:val="0E101A"/>
          <w:sz w:val="20"/>
          <w:szCs w:val="20"/>
          <w:lang w:eastAsia="zh-CN"/>
        </w:rPr>
        <w:t xml:space="preserve">, les plus remarquables ont été effectuées en Grèce, en Espagne et en Bulgarie. Voir la page </w:t>
      </w:r>
      <w:hyperlink r:id="rId5" w:history="1">
        <w:r>
          <w:rPr>
            <w:rStyle w:val="Lienhypertexte"/>
            <w:rFonts w:ascii="Arial" w:hAnsi="Arial" w:cs="Arial"/>
            <w:sz w:val="20"/>
            <w:szCs w:val="20"/>
            <w:lang w:eastAsia="zh-CN"/>
          </w:rPr>
          <w:t>Actions</w:t>
        </w:r>
      </w:hyperlink>
      <w:r>
        <w:rPr>
          <w:rFonts w:ascii="Arial" w:hAnsi="Arial" w:cs="Arial"/>
          <w:color w:val="0E101A"/>
          <w:sz w:val="20"/>
          <w:szCs w:val="20"/>
          <w:lang w:eastAsia="zh-CN"/>
        </w:rPr>
        <w:t xml:space="preserve"> du site </w:t>
      </w:r>
      <w:proofErr w:type="spellStart"/>
      <w:r>
        <w:rPr>
          <w:rFonts w:ascii="Arial" w:hAnsi="Arial" w:cs="Arial"/>
          <w:color w:val="0E101A"/>
          <w:sz w:val="20"/>
          <w:szCs w:val="20"/>
          <w:lang w:eastAsia="zh-CN"/>
        </w:rPr>
        <w:t>StopIllegalCooling</w:t>
      </w:r>
      <w:proofErr w:type="spellEnd"/>
      <w:r>
        <w:rPr>
          <w:rFonts w:ascii="Arial" w:hAnsi="Arial" w:cs="Arial"/>
          <w:color w:val="0E101A"/>
          <w:sz w:val="20"/>
          <w:szCs w:val="20"/>
          <w:lang w:eastAsia="zh-CN"/>
        </w:rPr>
        <w:t xml:space="preserve"> pour plus de détails.</w:t>
      </w:r>
    </w:p>
    <w:p w14:paraId="7283EF55" w14:textId="77777777" w:rsidR="001E629D" w:rsidRPr="001E629D" w:rsidRDefault="001E629D" w:rsidP="001E629D">
      <w:pPr>
        <w:numPr>
          <w:ilvl w:val="0"/>
          <w:numId w:val="1"/>
        </w:numPr>
        <w:spacing w:before="120" w:after="0" w:line="240" w:lineRule="auto"/>
        <w:ind w:left="714" w:hanging="357"/>
      </w:pPr>
      <w:r>
        <w:rPr>
          <w:rFonts w:ascii="Arial" w:hAnsi="Arial" w:cs="Arial"/>
          <w:b/>
          <w:bCs/>
          <w:color w:val="0E101A"/>
          <w:sz w:val="20"/>
          <w:szCs w:val="20"/>
          <w:lang w:eastAsia="zh-CN"/>
        </w:rPr>
        <w:t xml:space="preserve">Espagne : </w:t>
      </w:r>
      <w:r>
        <w:rPr>
          <w:rFonts w:ascii="Arial" w:hAnsi="Arial" w:cs="Arial"/>
          <w:color w:val="0E101A"/>
          <w:sz w:val="20"/>
          <w:szCs w:val="20"/>
          <w:lang w:eastAsia="zh-CN"/>
        </w:rPr>
        <w:t xml:space="preserve">Rapporté par </w:t>
      </w:r>
      <w:hyperlink r:id="rId6" w:tgtFrame="_blank" w:history="1">
        <w:r>
          <w:rPr>
            <w:rStyle w:val="Lienhypertexte"/>
            <w:rFonts w:ascii="Arial" w:hAnsi="Arial" w:cs="Arial"/>
            <w:color w:val="4A6EE0"/>
            <w:sz w:val="20"/>
            <w:szCs w:val="20"/>
            <w:lang w:eastAsia="zh-CN"/>
          </w:rPr>
          <w:t>OLAF</w:t>
        </w:r>
      </w:hyperlink>
      <w:r>
        <w:rPr>
          <w:rFonts w:ascii="Arial" w:hAnsi="Arial" w:cs="Arial"/>
          <w:color w:val="0E101A"/>
          <w:sz w:val="20"/>
          <w:szCs w:val="20"/>
          <w:lang w:eastAsia="zh-CN"/>
        </w:rPr>
        <w:t xml:space="preserve">  - ils ont, avec l’aide des autorités espagnoles, démantelé une organisation criminelle menant un trafic de gaz réfrigérants, lors de l’opération </w:t>
      </w:r>
      <w:proofErr w:type="spellStart"/>
      <w:r>
        <w:rPr>
          <w:rFonts w:ascii="Arial" w:hAnsi="Arial" w:cs="Arial"/>
          <w:color w:val="0E101A"/>
          <w:sz w:val="20"/>
          <w:szCs w:val="20"/>
          <w:lang w:eastAsia="zh-CN"/>
        </w:rPr>
        <w:t>Verbena</w:t>
      </w:r>
      <w:proofErr w:type="spellEnd"/>
      <w:r>
        <w:rPr>
          <w:rFonts w:ascii="Arial" w:hAnsi="Arial" w:cs="Arial"/>
          <w:color w:val="0E101A"/>
          <w:sz w:val="20"/>
          <w:szCs w:val="20"/>
          <w:lang w:eastAsia="zh-CN"/>
        </w:rPr>
        <w:t xml:space="preserve"> qui a mené à une saisie de 27 000kg. Cette opération est la </w:t>
      </w:r>
      <w:r>
        <w:rPr>
          <w:rFonts w:ascii="Arial" w:hAnsi="Arial" w:cs="Arial"/>
          <w:b/>
          <w:bCs/>
          <w:color w:val="0E101A"/>
          <w:sz w:val="20"/>
          <w:szCs w:val="20"/>
          <w:lang w:eastAsia="zh-CN"/>
        </w:rPr>
        <w:t>plus grande à l’échelle européenne contre le trafic de gaz réfrigérants.</w:t>
      </w:r>
    </w:p>
    <w:p w14:paraId="4A817ABA" w14:textId="77777777" w:rsidR="001E629D" w:rsidRPr="001E629D" w:rsidRDefault="001E629D" w:rsidP="001E629D">
      <w:pPr>
        <w:numPr>
          <w:ilvl w:val="0"/>
          <w:numId w:val="1"/>
        </w:numPr>
        <w:spacing w:before="120" w:after="0" w:line="240" w:lineRule="auto"/>
        <w:ind w:left="714" w:hanging="357"/>
      </w:pPr>
      <w:r>
        <w:rPr>
          <w:rFonts w:ascii="Arial" w:hAnsi="Arial" w:cs="Arial"/>
          <w:b/>
          <w:bCs/>
          <w:color w:val="0E101A"/>
          <w:sz w:val="20"/>
          <w:szCs w:val="20"/>
          <w:lang w:eastAsia="zh-CN"/>
        </w:rPr>
        <w:t>Grèce</w:t>
      </w:r>
      <w:r>
        <w:rPr>
          <w:rFonts w:ascii="Arial" w:hAnsi="Arial" w:cs="Arial"/>
          <w:color w:val="0E101A"/>
          <w:sz w:val="20"/>
          <w:szCs w:val="20"/>
          <w:lang w:eastAsia="zh-CN"/>
        </w:rPr>
        <w:t xml:space="preserve"> : Rapporté dans le </w:t>
      </w:r>
      <w:hyperlink r:id="rId7" w:tgtFrame="_blank" w:history="1">
        <w:r>
          <w:rPr>
            <w:rStyle w:val="Lienhypertexte"/>
            <w:rFonts w:ascii="Arial" w:hAnsi="Arial" w:cs="Arial"/>
            <w:color w:val="4A6EE0"/>
            <w:sz w:val="20"/>
            <w:szCs w:val="20"/>
            <w:lang w:eastAsia="zh-CN"/>
          </w:rPr>
          <w:t>Cooling Post</w:t>
        </w:r>
      </w:hyperlink>
      <w:r>
        <w:rPr>
          <w:rFonts w:ascii="Arial" w:hAnsi="Arial" w:cs="Arial"/>
          <w:color w:val="0E101A"/>
          <w:sz w:val="20"/>
          <w:szCs w:val="20"/>
          <w:lang w:eastAsia="zh-CN"/>
        </w:rPr>
        <w:t xml:space="preserve"> - une saisie colossale des douaniers du port d’Eleusis, </w:t>
      </w:r>
      <w:r>
        <w:rPr>
          <w:rFonts w:ascii="Arial" w:hAnsi="Arial" w:cs="Arial"/>
          <w:b/>
          <w:bCs/>
          <w:color w:val="0E101A"/>
          <w:sz w:val="20"/>
          <w:szCs w:val="20"/>
          <w:lang w:eastAsia="zh-CN"/>
        </w:rPr>
        <w:t xml:space="preserve">17 200kg </w:t>
      </w:r>
      <w:r>
        <w:rPr>
          <w:rFonts w:ascii="Arial" w:hAnsi="Arial" w:cs="Arial"/>
          <w:color w:val="0E101A"/>
          <w:sz w:val="20"/>
          <w:szCs w:val="20"/>
          <w:lang w:eastAsia="zh-CN"/>
        </w:rPr>
        <w:t>d’HFC réfrigérants de contrebande.</w:t>
      </w:r>
    </w:p>
    <w:p w14:paraId="644E0C4E" w14:textId="77777777" w:rsidR="001E629D" w:rsidRPr="001E629D" w:rsidRDefault="001E629D" w:rsidP="001E629D">
      <w:pPr>
        <w:numPr>
          <w:ilvl w:val="0"/>
          <w:numId w:val="1"/>
        </w:numPr>
        <w:spacing w:before="120" w:after="0" w:line="240" w:lineRule="auto"/>
        <w:ind w:left="714" w:hanging="357"/>
      </w:pPr>
      <w:r>
        <w:rPr>
          <w:rFonts w:ascii="Arial" w:hAnsi="Arial" w:cs="Arial"/>
          <w:b/>
          <w:bCs/>
          <w:color w:val="0E101A"/>
          <w:sz w:val="20"/>
          <w:szCs w:val="20"/>
          <w:lang w:eastAsia="zh-CN"/>
        </w:rPr>
        <w:t>Bulgarie</w:t>
      </w:r>
      <w:r>
        <w:rPr>
          <w:rFonts w:ascii="Arial" w:hAnsi="Arial" w:cs="Arial"/>
          <w:color w:val="0E101A"/>
          <w:sz w:val="20"/>
          <w:szCs w:val="20"/>
          <w:lang w:eastAsia="zh-CN"/>
        </w:rPr>
        <w:t xml:space="preserve"> : Rapporté dans le </w:t>
      </w:r>
      <w:hyperlink r:id="rId8" w:tgtFrame="_blank" w:history="1">
        <w:r>
          <w:rPr>
            <w:rStyle w:val="Lienhypertexte"/>
            <w:rFonts w:ascii="Arial" w:hAnsi="Arial" w:cs="Arial"/>
            <w:color w:val="4A6EE0"/>
            <w:sz w:val="20"/>
            <w:szCs w:val="20"/>
            <w:lang w:eastAsia="zh-CN"/>
          </w:rPr>
          <w:t>Cooling Post</w:t>
        </w:r>
      </w:hyperlink>
      <w:r>
        <w:rPr>
          <w:rFonts w:ascii="Arial" w:hAnsi="Arial" w:cs="Arial"/>
          <w:color w:val="0E101A"/>
          <w:sz w:val="20"/>
          <w:szCs w:val="20"/>
          <w:lang w:eastAsia="zh-CN"/>
        </w:rPr>
        <w:t xml:space="preserve"> – une saisie de faible importance, 50kg, a éveillé l’intérêt. </w:t>
      </w:r>
      <w:r>
        <w:rPr>
          <w:rFonts w:ascii="Arial" w:hAnsi="Arial" w:cs="Arial"/>
          <w:b/>
          <w:bCs/>
          <w:color w:val="0E101A"/>
          <w:sz w:val="20"/>
          <w:szCs w:val="20"/>
          <w:lang w:eastAsia="zh-CN"/>
        </w:rPr>
        <w:t xml:space="preserve">Du tabac non-déclaré a été retrouvé dans la même cargaison que les réfrigérants illégaux, </w:t>
      </w:r>
      <w:r>
        <w:rPr>
          <w:rFonts w:ascii="Arial" w:hAnsi="Arial" w:cs="Arial"/>
          <w:color w:val="0E101A"/>
          <w:sz w:val="20"/>
          <w:szCs w:val="20"/>
          <w:lang w:eastAsia="zh-CN"/>
        </w:rPr>
        <w:t>montrant que les trafiquants opèrent dans différents types de contrebande.</w:t>
      </w:r>
    </w:p>
    <w:p w14:paraId="213B0B44" w14:textId="77777777" w:rsidR="001E629D" w:rsidRPr="001E629D" w:rsidRDefault="001E629D" w:rsidP="001E629D">
      <w:pPr>
        <w:spacing w:after="0" w:line="240" w:lineRule="auto"/>
        <w:jc w:val="both"/>
      </w:pPr>
      <w:r>
        <w:rPr>
          <w:rFonts w:ascii="Arial" w:hAnsi="Arial" w:cs="Arial"/>
          <w:b/>
          <w:bCs/>
          <w:color w:val="0E101A"/>
          <w:sz w:val="20"/>
          <w:szCs w:val="20"/>
          <w:lang w:eastAsia="zh-CN"/>
        </w:rPr>
        <w:t> </w:t>
      </w:r>
    </w:p>
    <w:p w14:paraId="712BFE00" w14:textId="77777777" w:rsidR="001E629D" w:rsidRPr="001E629D" w:rsidRDefault="001E629D" w:rsidP="001E629D">
      <w:pPr>
        <w:spacing w:before="120" w:after="0" w:line="240" w:lineRule="auto"/>
        <w:jc w:val="both"/>
      </w:pPr>
      <w:r>
        <w:rPr>
          <w:rFonts w:ascii="Arial" w:hAnsi="Arial" w:cs="Arial"/>
          <w:b/>
          <w:bCs/>
          <w:sz w:val="20"/>
          <w:szCs w:val="20"/>
          <w:lang w:eastAsia="zh-CN"/>
        </w:rPr>
        <w:t>UNE PETITE REQUÊTE :</w:t>
      </w:r>
    </w:p>
    <w:p w14:paraId="3FBC3F16" w14:textId="5B9E033C" w:rsidR="001E629D" w:rsidRPr="001E629D" w:rsidRDefault="001E629D" w:rsidP="001E629D">
      <w:pPr>
        <w:spacing w:before="120" w:after="240" w:line="240" w:lineRule="auto"/>
        <w:jc w:val="both"/>
      </w:pPr>
      <w:r>
        <w:rPr>
          <w:noProof/>
        </w:rPr>
        <w:drawing>
          <wp:anchor distT="0" distB="0" distL="114300" distR="114300" simplePos="0" relativeHeight="251658240" behindDoc="0" locked="0" layoutInCell="1" allowOverlap="0" wp14:anchorId="2FDB9B1B" wp14:editId="33D709C1">
            <wp:simplePos x="0" y="0"/>
            <wp:positionH relativeFrom="column">
              <wp:align>right</wp:align>
            </wp:positionH>
            <wp:positionV relativeFrom="line">
              <wp:posOffset>0</wp:posOffset>
            </wp:positionV>
            <wp:extent cx="4333875" cy="2438400"/>
            <wp:effectExtent l="0" t="0" r="9525" b="0"/>
            <wp:wrapSquare wrapText="bothSides"/>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2438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lang w:eastAsia="zh-CN"/>
        </w:rPr>
        <w:t xml:space="preserve">A la suite de ces développements positifs, nous voulons réaliser une publicité pour la </w:t>
      </w:r>
      <w:hyperlink r:id="rId10" w:history="1">
        <w:r>
          <w:rPr>
            <w:rStyle w:val="Lienhypertexte"/>
            <w:rFonts w:ascii="Arial" w:hAnsi="Arial" w:cs="Arial"/>
            <w:sz w:val="20"/>
            <w:szCs w:val="20"/>
            <w:lang w:eastAsia="zh-CN"/>
          </w:rPr>
          <w:t>EFCTC Action Line</w:t>
        </w:r>
      </w:hyperlink>
      <w:r>
        <w:rPr>
          <w:rFonts w:ascii="Arial" w:hAnsi="Arial" w:cs="Arial"/>
          <w:sz w:val="20"/>
          <w:szCs w:val="20"/>
          <w:lang w:eastAsia="zh-CN"/>
        </w:rPr>
        <w:t>. Tous les signalements sont anonymes, nous ne pouvons donc pas témoigner de cas individuels, mais nous avons constaté que les signalements sur la plateforme en ligne</w:t>
      </w:r>
      <w:r>
        <w:rPr>
          <w:rFonts w:ascii="Arial" w:hAnsi="Arial" w:cs="Arial"/>
          <w:b/>
          <w:bCs/>
          <w:sz w:val="20"/>
          <w:szCs w:val="20"/>
          <w:lang w:eastAsia="zh-CN"/>
        </w:rPr>
        <w:t xml:space="preserve"> résultent directement en des enquêtes, des saisies et des condamnations</w:t>
      </w:r>
      <w:r>
        <w:rPr>
          <w:rFonts w:ascii="Arial" w:hAnsi="Arial" w:cs="Arial"/>
          <w:sz w:val="20"/>
          <w:szCs w:val="20"/>
          <w:lang w:eastAsia="zh-CN"/>
        </w:rPr>
        <w:t xml:space="preserve">. Chaque signalement est suivi d’une enquête et lorsqu’assez d’informations sont rassemblées pour ouvrir une plainte, l’affaire est escaladée aux autorités. Le sondage récent de </w:t>
      </w:r>
      <w:proofErr w:type="spellStart"/>
      <w:r>
        <w:rPr>
          <w:rFonts w:ascii="Arial" w:hAnsi="Arial" w:cs="Arial"/>
          <w:sz w:val="20"/>
          <w:szCs w:val="20"/>
          <w:lang w:eastAsia="zh-CN"/>
        </w:rPr>
        <w:t>StopIllegalCooling</w:t>
      </w:r>
      <w:proofErr w:type="spellEnd"/>
      <w:r>
        <w:rPr>
          <w:rFonts w:ascii="Arial" w:hAnsi="Arial" w:cs="Arial"/>
          <w:sz w:val="20"/>
          <w:szCs w:val="20"/>
          <w:lang w:eastAsia="zh-CN"/>
        </w:rPr>
        <w:t xml:space="preserve"> suggère que plus de 50% des signataires rencontrent par eux-mêmes ou se voient offrir des HFC issus de contrebande au moins une fois par mois. Nous savons que les autorités suivraient ces signalements avec attention et nous vous incitons à prendre action. Signalez toute offre suspecte et encouragez vos collègues et contacts à faire de même. Notre campagne pour le restant de l’année se concentrera sur les impacts positifs réalisés à l’échelle individuelle. Nous mettrons en lumière la nécessité de soutenir les autorités par le refus et le signalement d’offres illégales.</w:t>
      </w:r>
    </w:p>
    <w:p w14:paraId="447CB56C" w14:textId="48569527" w:rsidR="001E629D" w:rsidRDefault="001E629D" w:rsidP="001E629D">
      <w:pPr>
        <w:spacing w:after="0" w:line="240" w:lineRule="auto"/>
        <w:jc w:val="both"/>
        <w:rPr>
          <w:rFonts w:ascii="Arial" w:hAnsi="Arial" w:cs="Arial"/>
          <w:b/>
          <w:bCs/>
          <w:color w:val="0E101A"/>
          <w:sz w:val="20"/>
          <w:szCs w:val="20"/>
          <w:lang w:eastAsia="zh-CN"/>
        </w:rPr>
      </w:pPr>
    </w:p>
    <w:p w14:paraId="33CCF6D9" w14:textId="65352FEE" w:rsidR="001E629D" w:rsidRPr="001E629D" w:rsidRDefault="001E629D" w:rsidP="001E629D">
      <w:pPr>
        <w:spacing w:after="0" w:line="240" w:lineRule="auto"/>
        <w:jc w:val="both"/>
      </w:pPr>
      <w:r>
        <w:rPr>
          <w:rFonts w:ascii="Arial" w:hAnsi="Arial" w:cs="Arial"/>
          <w:b/>
          <w:bCs/>
          <w:color w:val="0E101A"/>
          <w:sz w:val="20"/>
          <w:szCs w:val="20"/>
          <w:lang w:eastAsia="zh-CN"/>
        </w:rPr>
        <w:t>LOI SUR LES SUBSTANCES CHIMIQUES – ALLEMAGNE :</w:t>
      </w:r>
    </w:p>
    <w:p w14:paraId="5926C416" w14:textId="77777777" w:rsidR="001E629D" w:rsidRPr="001E629D" w:rsidRDefault="001E629D" w:rsidP="001E629D">
      <w:pPr>
        <w:spacing w:before="120" w:after="0" w:line="240" w:lineRule="auto"/>
        <w:jc w:val="both"/>
      </w:pPr>
      <w:r>
        <w:rPr>
          <w:rFonts w:ascii="Arial" w:hAnsi="Arial" w:cs="Arial"/>
          <w:sz w:val="20"/>
          <w:szCs w:val="20"/>
          <w:lang w:eastAsia="zh-CN"/>
        </w:rPr>
        <w:t xml:space="preserve">La </w:t>
      </w:r>
      <w:hyperlink r:id="rId11" w:history="1">
        <w:r>
          <w:rPr>
            <w:rStyle w:val="Lienhypertexte"/>
            <w:rFonts w:ascii="Arial" w:hAnsi="Arial" w:cs="Arial"/>
            <w:sz w:val="20"/>
            <w:szCs w:val="20"/>
            <w:lang w:eastAsia="zh-CN"/>
          </w:rPr>
          <w:t>Loi sur les substances chimiques</w:t>
        </w:r>
      </w:hyperlink>
      <w:r>
        <w:rPr>
          <w:rFonts w:ascii="Arial" w:hAnsi="Arial" w:cs="Arial"/>
          <w:color w:val="0E101A"/>
          <w:sz w:val="20"/>
          <w:szCs w:val="20"/>
          <w:lang w:eastAsia="zh-CN"/>
        </w:rPr>
        <w:t xml:space="preserve"> est un des principaux exemples de nouvelle régulation venant contrer le trafic d’HFC. </w:t>
      </w:r>
      <w:r>
        <w:rPr>
          <w:rFonts w:ascii="Arial" w:hAnsi="Arial" w:cs="Arial"/>
          <w:b/>
          <w:bCs/>
          <w:color w:val="0E101A"/>
          <w:sz w:val="20"/>
          <w:szCs w:val="20"/>
          <w:lang w:eastAsia="zh-CN"/>
        </w:rPr>
        <w:t>La loi allemande s’érige en exemple, pour les autres Membres de l’Union, sur l’efficacité de nouvelles régulations contrant le trafic d’HFC.</w:t>
      </w:r>
      <w:r>
        <w:rPr>
          <w:rFonts w:ascii="Arial" w:hAnsi="Arial" w:cs="Arial"/>
          <w:color w:val="0E101A"/>
          <w:sz w:val="20"/>
          <w:szCs w:val="20"/>
          <w:lang w:eastAsia="zh-CN"/>
        </w:rPr>
        <w:t xml:space="preserve"> </w:t>
      </w:r>
    </w:p>
    <w:p w14:paraId="3F3D775A" w14:textId="77777777" w:rsidR="001E629D" w:rsidRPr="001E629D" w:rsidRDefault="001E629D" w:rsidP="001E629D">
      <w:pPr>
        <w:spacing w:after="0" w:line="240" w:lineRule="auto"/>
        <w:jc w:val="both"/>
      </w:pPr>
      <w:r>
        <w:rPr>
          <w:rFonts w:ascii="Arial" w:hAnsi="Arial" w:cs="Arial"/>
          <w:color w:val="0E101A"/>
          <w:sz w:val="20"/>
          <w:szCs w:val="20"/>
          <w:lang w:eastAsia="zh-CN"/>
        </w:rPr>
        <w:t> </w:t>
      </w:r>
    </w:p>
    <w:p w14:paraId="34189F19" w14:textId="77777777" w:rsidR="001E629D" w:rsidRPr="001E629D" w:rsidRDefault="001E629D" w:rsidP="001E629D">
      <w:pPr>
        <w:spacing w:after="0" w:line="240" w:lineRule="auto"/>
        <w:jc w:val="both"/>
      </w:pPr>
      <w:r>
        <w:rPr>
          <w:rFonts w:ascii="Arial" w:hAnsi="Arial" w:cs="Arial"/>
          <w:color w:val="0E101A"/>
          <w:sz w:val="20"/>
          <w:szCs w:val="20"/>
          <w:lang w:eastAsia="zh-CN"/>
        </w:rPr>
        <w:t> </w:t>
      </w:r>
    </w:p>
    <w:p w14:paraId="2F9C4F09" w14:textId="77777777" w:rsidR="001E629D" w:rsidRPr="001E629D" w:rsidRDefault="001E629D" w:rsidP="001E629D">
      <w:pPr>
        <w:spacing w:after="0" w:line="240" w:lineRule="auto"/>
        <w:jc w:val="both"/>
      </w:pPr>
      <w:r>
        <w:rPr>
          <w:rFonts w:ascii="Arial" w:hAnsi="Arial" w:cs="Arial"/>
          <w:color w:val="0E101A"/>
          <w:sz w:val="20"/>
          <w:szCs w:val="20"/>
          <w:lang w:eastAsia="zh-CN"/>
        </w:rPr>
        <w:t xml:space="preserve">Principaux points de notre communiqué de presse de cet été : </w:t>
      </w:r>
    </w:p>
    <w:p w14:paraId="1A90D4A7" w14:textId="77777777" w:rsidR="001E629D" w:rsidRPr="001E629D" w:rsidRDefault="001E629D" w:rsidP="001E629D">
      <w:pPr>
        <w:numPr>
          <w:ilvl w:val="0"/>
          <w:numId w:val="2"/>
        </w:numPr>
        <w:spacing w:before="120" w:after="0" w:line="240" w:lineRule="auto"/>
        <w:ind w:left="714" w:hanging="357"/>
        <w:jc w:val="both"/>
      </w:pPr>
      <w:r>
        <w:rPr>
          <w:rFonts w:ascii="Arial" w:hAnsi="Arial" w:cs="Arial"/>
          <w:color w:val="0E101A"/>
          <w:sz w:val="20"/>
          <w:szCs w:val="20"/>
          <w:lang w:eastAsia="zh-CN"/>
        </w:rPr>
        <w:t>La loi allemande favorise la transparence tout au long de la chaine d’approvisionnement des</w:t>
      </w:r>
      <w:r>
        <w:t xml:space="preserve"> </w:t>
      </w:r>
      <w:r>
        <w:rPr>
          <w:rFonts w:ascii="Arial" w:hAnsi="Arial" w:cs="Arial"/>
          <w:color w:val="0E101A"/>
          <w:sz w:val="20"/>
          <w:szCs w:val="20"/>
          <w:lang w:eastAsia="zh-CN"/>
        </w:rPr>
        <w:t>hydrofluorocarbures (HFC).</w:t>
      </w:r>
    </w:p>
    <w:p w14:paraId="413ACFFA" w14:textId="77777777" w:rsidR="001E629D" w:rsidRPr="001E629D" w:rsidRDefault="001E629D" w:rsidP="001E629D">
      <w:pPr>
        <w:numPr>
          <w:ilvl w:val="0"/>
          <w:numId w:val="2"/>
        </w:numPr>
        <w:spacing w:before="120" w:after="0" w:line="240" w:lineRule="auto"/>
        <w:ind w:left="714" w:hanging="357"/>
        <w:jc w:val="both"/>
      </w:pPr>
      <w:r>
        <w:rPr>
          <w:rFonts w:ascii="Arial" w:hAnsi="Arial" w:cs="Arial"/>
          <w:color w:val="0E101A"/>
          <w:sz w:val="20"/>
          <w:szCs w:val="20"/>
          <w:lang w:eastAsia="zh-CN"/>
        </w:rPr>
        <w:t>Cette loi va plus loin que l’actuelle régulation européenne F-</w:t>
      </w:r>
      <w:proofErr w:type="spellStart"/>
      <w:r>
        <w:rPr>
          <w:rFonts w:ascii="Arial" w:hAnsi="Arial" w:cs="Arial"/>
          <w:color w:val="0E101A"/>
          <w:sz w:val="20"/>
          <w:szCs w:val="20"/>
          <w:lang w:eastAsia="zh-CN"/>
        </w:rPr>
        <w:t>gases</w:t>
      </w:r>
      <w:proofErr w:type="spellEnd"/>
      <w:r>
        <w:rPr>
          <w:rFonts w:ascii="Arial" w:hAnsi="Arial" w:cs="Arial"/>
          <w:color w:val="0E101A"/>
          <w:sz w:val="20"/>
          <w:szCs w:val="20"/>
          <w:lang w:eastAsia="zh-CN"/>
        </w:rPr>
        <w:t xml:space="preserve"> en contraignant tout vendeur d’HFC à fournir la documentation appropriée.</w:t>
      </w:r>
    </w:p>
    <w:p w14:paraId="08498456" w14:textId="77777777" w:rsidR="001E629D" w:rsidRPr="001E629D" w:rsidRDefault="001E629D" w:rsidP="001E629D">
      <w:pPr>
        <w:numPr>
          <w:ilvl w:val="0"/>
          <w:numId w:val="2"/>
        </w:numPr>
        <w:spacing w:before="120" w:after="0" w:line="240" w:lineRule="auto"/>
        <w:ind w:left="714" w:hanging="357"/>
        <w:jc w:val="both"/>
      </w:pPr>
      <w:r>
        <w:rPr>
          <w:rFonts w:ascii="Arial" w:hAnsi="Arial" w:cs="Arial"/>
          <w:color w:val="0E101A"/>
          <w:sz w:val="20"/>
          <w:szCs w:val="20"/>
          <w:lang w:eastAsia="zh-CN"/>
        </w:rPr>
        <w:t>EFCTC invite toute la chaine de production à signaler toute activité suspecte à une Ligne d’Action anonyme et à rejoindre l’Engagement dédié à éradiquer le marché noir d’HFC</w:t>
      </w:r>
    </w:p>
    <w:p w14:paraId="07669AE8" w14:textId="77777777" w:rsidR="001E629D" w:rsidRPr="001E629D" w:rsidRDefault="001E629D" w:rsidP="001E629D">
      <w:pPr>
        <w:spacing w:after="0" w:line="240" w:lineRule="auto"/>
        <w:jc w:val="both"/>
      </w:pPr>
      <w:r>
        <w:rPr>
          <w:rFonts w:ascii="Arial" w:hAnsi="Arial" w:cs="Arial"/>
          <w:b/>
          <w:bCs/>
          <w:color w:val="0E101A"/>
          <w:sz w:val="20"/>
          <w:szCs w:val="20"/>
          <w:lang w:eastAsia="zh-CN"/>
        </w:rPr>
        <w:t> </w:t>
      </w:r>
    </w:p>
    <w:p w14:paraId="06516A96" w14:textId="77777777" w:rsidR="001E629D" w:rsidRPr="001E629D" w:rsidRDefault="001E629D" w:rsidP="001E629D">
      <w:pPr>
        <w:spacing w:after="0" w:line="240" w:lineRule="auto"/>
        <w:jc w:val="both"/>
      </w:pPr>
      <w:r>
        <w:rPr>
          <w:rFonts w:ascii="Arial" w:hAnsi="Arial" w:cs="Arial"/>
          <w:b/>
          <w:bCs/>
          <w:color w:val="0E101A"/>
          <w:sz w:val="20"/>
          <w:szCs w:val="20"/>
          <w:lang w:eastAsia="zh-CN"/>
        </w:rPr>
        <w:t>CHANGEMENTS DE LA LÉGISLATION EUROPÉENNE :</w:t>
      </w:r>
      <w:r>
        <w:rPr>
          <w:rFonts w:ascii="Arial" w:hAnsi="Arial" w:cs="Arial"/>
        </w:rPr>
        <w:t xml:space="preserve"> </w:t>
      </w:r>
    </w:p>
    <w:p w14:paraId="7C72A7B9" w14:textId="77777777" w:rsidR="001E629D" w:rsidRPr="001E629D" w:rsidRDefault="001E629D" w:rsidP="001E629D">
      <w:pPr>
        <w:spacing w:before="120" w:after="0" w:line="240" w:lineRule="auto"/>
        <w:jc w:val="both"/>
      </w:pPr>
      <w:r>
        <w:rPr>
          <w:rFonts w:ascii="Arial" w:hAnsi="Arial" w:cs="Arial"/>
          <w:color w:val="0E101A"/>
          <w:sz w:val="20"/>
          <w:szCs w:val="20"/>
          <w:lang w:eastAsia="zh-CN"/>
        </w:rPr>
        <w:t xml:space="preserve">La commission européenne a récemment introduit de </w:t>
      </w:r>
      <w:r>
        <w:rPr>
          <w:rFonts w:ascii="Arial" w:hAnsi="Arial" w:cs="Arial"/>
          <w:b/>
          <w:bCs/>
          <w:color w:val="0E101A"/>
          <w:sz w:val="20"/>
          <w:szCs w:val="20"/>
          <w:lang w:eastAsia="zh-CN"/>
        </w:rPr>
        <w:t>nouveaux documents d’enregistrement pour les importateurs</w:t>
      </w:r>
      <w:r>
        <w:rPr>
          <w:rFonts w:ascii="Arial" w:hAnsi="Arial" w:cs="Arial"/>
          <w:color w:val="0E101A"/>
          <w:sz w:val="20"/>
          <w:szCs w:val="20"/>
          <w:lang w:eastAsia="zh-CN"/>
        </w:rPr>
        <w:t>, augmentant la probabilité de découvrir les expéditions illégales. Les nouvelles exigences (Régulation (EU) 2019/661) obligent les importateurs à entrer le numéro EORI de l’exportateur dans le registre F-</w:t>
      </w:r>
      <w:proofErr w:type="spellStart"/>
      <w:r>
        <w:rPr>
          <w:rFonts w:ascii="Arial" w:hAnsi="Arial" w:cs="Arial"/>
          <w:color w:val="0E101A"/>
          <w:sz w:val="20"/>
          <w:szCs w:val="20"/>
          <w:lang w:eastAsia="zh-CN"/>
        </w:rPr>
        <w:t>gas</w:t>
      </w:r>
      <w:proofErr w:type="spellEnd"/>
      <w:r>
        <w:rPr>
          <w:rFonts w:ascii="Arial" w:hAnsi="Arial" w:cs="Arial"/>
          <w:color w:val="0E101A"/>
          <w:sz w:val="20"/>
          <w:szCs w:val="20"/>
          <w:lang w:eastAsia="zh-CN"/>
        </w:rPr>
        <w:t>. Cela rajoute un niveau d’identification jusqu’alors absent et permet aux douanes de croiser les données des documents, vérifiant la régularité des HFC. Nous soutenons la volonté de lier les données du portail F-</w:t>
      </w:r>
      <w:proofErr w:type="spellStart"/>
      <w:r>
        <w:rPr>
          <w:rFonts w:ascii="Arial" w:hAnsi="Arial" w:cs="Arial"/>
          <w:color w:val="0E101A"/>
          <w:sz w:val="20"/>
          <w:szCs w:val="20"/>
          <w:lang w:eastAsia="zh-CN"/>
        </w:rPr>
        <w:t>gas</w:t>
      </w:r>
      <w:proofErr w:type="spellEnd"/>
      <w:r>
        <w:rPr>
          <w:rFonts w:ascii="Arial" w:hAnsi="Arial" w:cs="Arial"/>
          <w:color w:val="0E101A"/>
          <w:sz w:val="20"/>
          <w:szCs w:val="20"/>
          <w:lang w:eastAsia="zh-CN"/>
        </w:rPr>
        <w:t xml:space="preserve"> et des documents douaniers et avons hâte d’observer les résultats de cette simplification. Malgré l’intérêt de la démarche, seul un numéro EORI peut </w:t>
      </w:r>
      <w:r>
        <w:rPr>
          <w:rFonts w:ascii="Arial" w:hAnsi="Arial" w:cs="Arial"/>
          <w:color w:val="0E101A"/>
          <w:sz w:val="20"/>
          <w:szCs w:val="20"/>
          <w:lang w:eastAsia="zh-CN"/>
        </w:rPr>
        <w:lastRenderedPageBreak/>
        <w:t>être entré dans le registre, bien que de nombreux importateurs possèdent un numéro EORI par pays européen où ils exportent.</w:t>
      </w:r>
    </w:p>
    <w:p w14:paraId="55995CFE" w14:textId="77777777" w:rsidR="001E629D" w:rsidRPr="001E629D" w:rsidRDefault="001E629D" w:rsidP="001E629D">
      <w:pPr>
        <w:spacing w:after="0" w:line="240" w:lineRule="auto"/>
        <w:jc w:val="both"/>
      </w:pPr>
      <w:r>
        <w:rPr>
          <w:rFonts w:ascii="Arial" w:hAnsi="Arial" w:cs="Arial"/>
          <w:color w:val="0E101A"/>
          <w:sz w:val="20"/>
          <w:szCs w:val="20"/>
          <w:lang w:eastAsia="zh-CN"/>
        </w:rPr>
        <w:t> </w:t>
      </w:r>
    </w:p>
    <w:p w14:paraId="77914E9E" w14:textId="77777777" w:rsidR="001E629D" w:rsidRPr="001E629D" w:rsidRDefault="001E629D" w:rsidP="001E629D">
      <w:pPr>
        <w:spacing w:after="0" w:line="240" w:lineRule="auto"/>
        <w:jc w:val="both"/>
      </w:pPr>
      <w:r>
        <w:rPr>
          <w:rFonts w:ascii="Arial" w:hAnsi="Arial" w:cs="Arial"/>
          <w:color w:val="0E101A"/>
          <w:sz w:val="20"/>
          <w:szCs w:val="20"/>
          <w:lang w:eastAsia="zh-CN"/>
        </w:rPr>
        <w:t>En suivant ce lien, vous trouverez plus de détails sur l’annonce de la Commission : </w:t>
      </w:r>
      <w:hyperlink r:id="rId12" w:tgtFrame="_blank" w:history="1">
        <w:r>
          <w:rPr>
            <w:rStyle w:val="Lienhypertexte"/>
            <w:rFonts w:ascii="Arial" w:hAnsi="Arial" w:cs="Arial"/>
            <w:color w:val="4A6EE0"/>
            <w:sz w:val="20"/>
            <w:szCs w:val="20"/>
            <w:lang w:eastAsia="zh-CN"/>
          </w:rPr>
          <w:t xml:space="preserve">HFC </w:t>
        </w:r>
        <w:proofErr w:type="spellStart"/>
        <w:r>
          <w:rPr>
            <w:rStyle w:val="Lienhypertexte"/>
            <w:rFonts w:ascii="Arial" w:hAnsi="Arial" w:cs="Arial"/>
            <w:color w:val="4A6EE0"/>
            <w:sz w:val="20"/>
            <w:szCs w:val="20"/>
            <w:lang w:eastAsia="zh-CN"/>
          </w:rPr>
          <w:t>greenhouse</w:t>
        </w:r>
        <w:proofErr w:type="spellEnd"/>
        <w:r>
          <w:rPr>
            <w:rStyle w:val="Lienhypertexte"/>
            <w:rFonts w:ascii="Arial" w:hAnsi="Arial" w:cs="Arial"/>
            <w:color w:val="4A6EE0"/>
            <w:sz w:val="20"/>
            <w:szCs w:val="20"/>
            <w:lang w:eastAsia="zh-CN"/>
          </w:rPr>
          <w:t xml:space="preserve"> </w:t>
        </w:r>
        <w:proofErr w:type="spellStart"/>
        <w:r>
          <w:rPr>
            <w:rStyle w:val="Lienhypertexte"/>
            <w:rFonts w:ascii="Arial" w:hAnsi="Arial" w:cs="Arial"/>
            <w:color w:val="4A6EE0"/>
            <w:sz w:val="20"/>
            <w:szCs w:val="20"/>
            <w:lang w:eastAsia="zh-CN"/>
          </w:rPr>
          <w:t>gases</w:t>
        </w:r>
        <w:proofErr w:type="spellEnd"/>
        <w:r>
          <w:rPr>
            <w:rStyle w:val="Lienhypertexte"/>
            <w:rFonts w:ascii="Arial" w:hAnsi="Arial" w:cs="Arial"/>
            <w:color w:val="4A6EE0"/>
            <w:sz w:val="20"/>
            <w:szCs w:val="20"/>
            <w:lang w:eastAsia="zh-CN"/>
          </w:rPr>
          <w:t xml:space="preserve"> - registration </w:t>
        </w:r>
        <w:proofErr w:type="spellStart"/>
        <w:r>
          <w:rPr>
            <w:rStyle w:val="Lienhypertexte"/>
            <w:rFonts w:ascii="Arial" w:hAnsi="Arial" w:cs="Arial"/>
            <w:color w:val="4A6EE0"/>
            <w:sz w:val="20"/>
            <w:szCs w:val="20"/>
            <w:lang w:eastAsia="zh-CN"/>
          </w:rPr>
          <w:t>requirements</w:t>
        </w:r>
        <w:proofErr w:type="spellEnd"/>
        <w:r>
          <w:rPr>
            <w:rStyle w:val="Lienhypertexte"/>
            <w:rFonts w:ascii="Arial" w:hAnsi="Arial" w:cs="Arial"/>
            <w:color w:val="4A6EE0"/>
            <w:sz w:val="20"/>
            <w:szCs w:val="20"/>
            <w:lang w:eastAsia="zh-CN"/>
          </w:rPr>
          <w:t xml:space="preserve"> </w:t>
        </w:r>
        <w:proofErr w:type="spellStart"/>
        <w:r>
          <w:rPr>
            <w:rStyle w:val="Lienhypertexte"/>
            <w:rFonts w:ascii="Arial" w:hAnsi="Arial" w:cs="Arial"/>
            <w:color w:val="4A6EE0"/>
            <w:sz w:val="20"/>
            <w:szCs w:val="20"/>
            <w:lang w:eastAsia="zh-CN"/>
          </w:rPr>
          <w:t>updated</w:t>
        </w:r>
        <w:proofErr w:type="spellEnd"/>
      </w:hyperlink>
    </w:p>
    <w:p w14:paraId="1C81F524" w14:textId="77777777" w:rsidR="001E629D" w:rsidRPr="001E629D" w:rsidRDefault="001E629D" w:rsidP="001E629D">
      <w:pPr>
        <w:spacing w:after="0" w:line="240" w:lineRule="auto"/>
        <w:jc w:val="both"/>
      </w:pPr>
      <w:r>
        <w:rPr>
          <w:rFonts w:ascii="Arial" w:hAnsi="Arial" w:cs="Arial"/>
          <w:b/>
          <w:bCs/>
          <w:color w:val="0E101A"/>
          <w:sz w:val="20"/>
          <w:szCs w:val="20"/>
          <w:lang w:eastAsia="zh-CN"/>
        </w:rPr>
        <w:t> </w:t>
      </w:r>
    </w:p>
    <w:p w14:paraId="40A635BA" w14:textId="77777777" w:rsidR="001E629D" w:rsidRPr="001E629D" w:rsidRDefault="001E629D" w:rsidP="001E629D">
      <w:pPr>
        <w:spacing w:after="0" w:line="240" w:lineRule="auto"/>
        <w:jc w:val="both"/>
      </w:pPr>
      <w:r>
        <w:rPr>
          <w:rFonts w:ascii="Arial" w:hAnsi="Arial" w:cs="Arial"/>
          <w:b/>
          <w:bCs/>
          <w:color w:val="0E101A"/>
          <w:sz w:val="20"/>
          <w:szCs w:val="20"/>
          <w:lang w:eastAsia="zh-CN"/>
        </w:rPr>
        <w:t>FOCUS SUR LES ACTIONS A TRAVERS L’EUROPE :</w:t>
      </w:r>
    </w:p>
    <w:p w14:paraId="4367FDA2" w14:textId="77777777" w:rsidR="001E629D" w:rsidRPr="001E629D" w:rsidRDefault="001E629D" w:rsidP="001E629D">
      <w:pPr>
        <w:spacing w:before="120" w:after="0" w:line="240" w:lineRule="auto"/>
        <w:jc w:val="both"/>
      </w:pPr>
      <w:r>
        <w:rPr>
          <w:rFonts w:ascii="Arial" w:hAnsi="Arial" w:cs="Arial"/>
          <w:color w:val="0E101A"/>
          <w:sz w:val="20"/>
          <w:szCs w:val="20"/>
          <w:lang w:eastAsia="zh-CN"/>
        </w:rPr>
        <w:t>Le </w:t>
      </w:r>
      <w:hyperlink r:id="rId13" w:tgtFrame="_blank" w:history="1">
        <w:r>
          <w:rPr>
            <w:rStyle w:val="Lienhypertexte"/>
            <w:rFonts w:ascii="Arial" w:hAnsi="Arial" w:cs="Arial"/>
            <w:color w:val="4A6EE0"/>
            <w:sz w:val="20"/>
            <w:szCs w:val="20"/>
            <w:lang w:eastAsia="zh-CN"/>
          </w:rPr>
          <w:t>Microsite</w:t>
        </w:r>
      </w:hyperlink>
      <w:r>
        <w:rPr>
          <w:rFonts w:ascii="Arial" w:hAnsi="Arial" w:cs="Arial"/>
          <w:color w:val="0E101A"/>
          <w:sz w:val="20"/>
          <w:szCs w:val="20"/>
          <w:lang w:eastAsia="zh-CN"/>
        </w:rPr>
        <w:t> de la campagne a été mis à jour avec de nouveaux contenus et des éclairages additionnels. La page Données s’appelle maintenant Actions et inclut la</w:t>
      </w:r>
      <w:r>
        <w:rPr>
          <w:rFonts w:ascii="Arial" w:hAnsi="Arial" w:cs="Arial"/>
          <w:b/>
          <w:bCs/>
          <w:color w:val="0E101A"/>
          <w:sz w:val="20"/>
          <w:szCs w:val="20"/>
          <w:lang w:eastAsia="zh-CN"/>
        </w:rPr>
        <w:t xml:space="preserve"> «</w:t>
      </w:r>
      <w:r>
        <w:rPr>
          <w:rFonts w:ascii="Arial" w:hAnsi="Arial" w:cs="Arial"/>
          <w:b/>
          <w:bCs/>
          <w:color w:val="0E101A"/>
          <w:sz w:val="20"/>
          <w:szCs w:val="20"/>
          <w:u w:val="single"/>
          <w:lang w:eastAsia="zh-CN"/>
        </w:rPr>
        <w:t> carte des saisies</w:t>
      </w:r>
      <w:r>
        <w:rPr>
          <w:rFonts w:ascii="Arial" w:hAnsi="Arial" w:cs="Arial"/>
          <w:b/>
          <w:bCs/>
          <w:color w:val="0E101A"/>
          <w:sz w:val="20"/>
          <w:szCs w:val="20"/>
          <w:lang w:eastAsia="zh-CN"/>
        </w:rPr>
        <w:t xml:space="preserve"> », ainsi que du nouveau contenu mettant en lumière le développement de régulations positives en Europe. </w:t>
      </w:r>
      <w:r>
        <w:rPr>
          <w:rFonts w:ascii="Arial" w:hAnsi="Arial" w:cs="Arial"/>
          <w:color w:val="0E101A"/>
          <w:sz w:val="20"/>
          <w:szCs w:val="20"/>
          <w:lang w:eastAsia="zh-CN"/>
        </w:rPr>
        <w:t>Ceci démontre que le trafic problématique d’HFC est étendu à travers l’Europe mais aussi que les cargaisons illégales sont interceptées. La carte des régulations souligne les avancées législatives dans les Etats membres pour mettre en lumière les mesures concrètes adoptées pour combattre ce problème qui affecte l’Europe entière. Mais ce n’est que le début – Nous devons tous faire notre part pour continuer le combat !</w:t>
      </w:r>
    </w:p>
    <w:p w14:paraId="0779FA42" w14:textId="77777777" w:rsidR="001E629D" w:rsidRPr="001E629D" w:rsidRDefault="001E629D" w:rsidP="001E629D">
      <w:pPr>
        <w:spacing w:after="0" w:line="240" w:lineRule="auto"/>
        <w:jc w:val="both"/>
      </w:pPr>
      <w:r>
        <w:rPr>
          <w:rFonts w:ascii="Arial" w:hAnsi="Arial" w:cs="Arial"/>
          <w:b/>
          <w:bCs/>
          <w:color w:val="0E101A"/>
          <w:sz w:val="20"/>
          <w:szCs w:val="20"/>
          <w:lang w:eastAsia="zh-CN"/>
        </w:rPr>
        <w:t> </w:t>
      </w:r>
    </w:p>
    <w:p w14:paraId="6D82779C" w14:textId="77777777" w:rsidR="001E629D" w:rsidRPr="001E629D" w:rsidRDefault="001E629D" w:rsidP="001E629D">
      <w:pPr>
        <w:spacing w:after="0" w:line="240" w:lineRule="auto"/>
        <w:jc w:val="both"/>
      </w:pPr>
      <w:r>
        <w:rPr>
          <w:rFonts w:ascii="Arial" w:hAnsi="Arial" w:cs="Arial"/>
          <w:b/>
          <w:bCs/>
          <w:color w:val="0E101A"/>
          <w:sz w:val="20"/>
          <w:szCs w:val="20"/>
          <w:lang w:eastAsia="zh-CN"/>
        </w:rPr>
        <w:t xml:space="preserve">ATTENTION MÉDIATIQUE </w:t>
      </w:r>
      <w:r>
        <w:rPr>
          <w:rFonts w:ascii="Arial" w:hAnsi="Arial" w:cs="Arial"/>
          <w:color w:val="0E101A"/>
          <w:sz w:val="20"/>
          <w:szCs w:val="20"/>
          <w:lang w:eastAsia="zh-CN"/>
        </w:rPr>
        <w:t>:</w:t>
      </w:r>
    </w:p>
    <w:p w14:paraId="4133A05F" w14:textId="77777777" w:rsidR="001E629D" w:rsidRPr="001E629D" w:rsidRDefault="001E629D" w:rsidP="001E629D">
      <w:pPr>
        <w:spacing w:before="120" w:after="0" w:line="240" w:lineRule="auto"/>
        <w:jc w:val="both"/>
      </w:pPr>
      <w:r>
        <w:rPr>
          <w:rFonts w:ascii="Arial" w:hAnsi="Arial" w:cs="Arial"/>
          <w:color w:val="0E101A"/>
          <w:sz w:val="20"/>
          <w:szCs w:val="20"/>
          <w:lang w:eastAsia="zh-CN"/>
        </w:rPr>
        <w:t xml:space="preserve">Le marché illégal de réfrigérants est au centre d’attention des médias à l’échelle mondiale, dont </w:t>
      </w:r>
      <w:hyperlink r:id="rId14" w:tgtFrame="_blank" w:history="1">
        <w:r>
          <w:rPr>
            <w:rStyle w:val="Lienhypertexte"/>
            <w:rFonts w:ascii="Arial" w:hAnsi="Arial" w:cs="Arial"/>
            <w:b/>
            <w:bCs/>
            <w:color w:val="4A6EE0"/>
            <w:sz w:val="20"/>
            <w:szCs w:val="20"/>
            <w:lang w:eastAsia="zh-CN"/>
          </w:rPr>
          <w:t>The</w:t>
        </w:r>
        <w:r>
          <w:rPr>
            <w:rStyle w:val="Lienhypertexte"/>
            <w:rFonts w:ascii="Arial" w:hAnsi="Arial" w:cs="Arial"/>
            <w:color w:val="4A6EE0"/>
            <w:sz w:val="20"/>
            <w:szCs w:val="20"/>
            <w:lang w:eastAsia="zh-CN"/>
          </w:rPr>
          <w:t xml:space="preserve"> </w:t>
        </w:r>
        <w:r>
          <w:rPr>
            <w:rStyle w:val="Lienhypertexte"/>
            <w:rFonts w:ascii="Arial" w:hAnsi="Arial" w:cs="Arial"/>
            <w:b/>
            <w:bCs/>
            <w:color w:val="4A6EE0"/>
            <w:sz w:val="20"/>
            <w:szCs w:val="20"/>
            <w:lang w:eastAsia="zh-CN"/>
          </w:rPr>
          <w:t>Wall Street Journal</w:t>
        </w:r>
      </w:hyperlink>
      <w:r>
        <w:rPr>
          <w:rFonts w:ascii="Arial" w:hAnsi="Arial" w:cs="Arial"/>
          <w:color w:val="0E101A"/>
          <w:sz w:val="20"/>
          <w:szCs w:val="20"/>
          <w:lang w:eastAsia="zh-CN"/>
        </w:rPr>
        <w:t>. L’article se concentre sur le problème du marché noir et sur le manque de poursuites, attirant « les gangs modernes du crime organisé ». Il aborde les saisies récentes et le travail effectué par Kroll pour combattre le problème.</w:t>
      </w:r>
    </w:p>
    <w:p w14:paraId="749C2A5C" w14:textId="77777777" w:rsidR="001E629D" w:rsidRPr="001E629D" w:rsidRDefault="001E629D" w:rsidP="001E629D">
      <w:pPr>
        <w:spacing w:after="0" w:line="240" w:lineRule="auto"/>
        <w:jc w:val="both"/>
      </w:pPr>
      <w:r>
        <w:rPr>
          <w:rFonts w:ascii="Arial" w:hAnsi="Arial" w:cs="Arial"/>
          <w:color w:val="0E101A"/>
          <w:sz w:val="20"/>
          <w:szCs w:val="20"/>
          <w:lang w:eastAsia="zh-CN"/>
        </w:rPr>
        <w:t> </w:t>
      </w:r>
    </w:p>
    <w:p w14:paraId="26120110" w14:textId="77777777" w:rsidR="001E629D" w:rsidRPr="001E629D" w:rsidRDefault="001E629D" w:rsidP="001E629D">
      <w:pPr>
        <w:spacing w:after="0" w:line="240" w:lineRule="auto"/>
        <w:jc w:val="both"/>
      </w:pPr>
      <w:r>
        <w:rPr>
          <w:rFonts w:ascii="Arial" w:hAnsi="Arial" w:cs="Arial"/>
          <w:color w:val="0E101A"/>
          <w:sz w:val="20"/>
          <w:szCs w:val="20"/>
          <w:lang w:eastAsia="zh-CN"/>
        </w:rPr>
        <w:t xml:space="preserve">Le 1er septembre, la chaine allemande </w:t>
      </w:r>
      <w:proofErr w:type="spellStart"/>
      <w:r>
        <w:rPr>
          <w:rFonts w:ascii="Arial" w:hAnsi="Arial" w:cs="Arial"/>
          <w:b/>
          <w:bCs/>
          <w:color w:val="0E101A"/>
          <w:sz w:val="20"/>
          <w:szCs w:val="20"/>
          <w:lang w:eastAsia="zh-CN"/>
        </w:rPr>
        <w:t>Das</w:t>
      </w:r>
      <w:proofErr w:type="spellEnd"/>
      <w:r>
        <w:rPr>
          <w:rFonts w:ascii="Arial" w:hAnsi="Arial" w:cs="Arial"/>
          <w:b/>
          <w:bCs/>
          <w:color w:val="0E101A"/>
          <w:sz w:val="20"/>
          <w:szCs w:val="20"/>
          <w:lang w:eastAsia="zh-CN"/>
        </w:rPr>
        <w:t xml:space="preserve"> </w:t>
      </w:r>
      <w:proofErr w:type="spellStart"/>
      <w:r>
        <w:rPr>
          <w:rFonts w:ascii="Arial" w:hAnsi="Arial" w:cs="Arial"/>
          <w:b/>
          <w:bCs/>
          <w:color w:val="0E101A"/>
          <w:sz w:val="20"/>
          <w:szCs w:val="20"/>
          <w:lang w:eastAsia="zh-CN"/>
        </w:rPr>
        <w:t>Erste</w:t>
      </w:r>
      <w:proofErr w:type="spellEnd"/>
      <w:r>
        <w:rPr>
          <w:rFonts w:ascii="Arial" w:hAnsi="Arial" w:cs="Arial"/>
          <w:color w:val="0E101A"/>
          <w:sz w:val="20"/>
          <w:szCs w:val="20"/>
          <w:lang w:eastAsia="zh-CN"/>
        </w:rPr>
        <w:t xml:space="preserve"> a aussi couvert le marché noir dans le programme </w:t>
      </w:r>
      <w:proofErr w:type="spellStart"/>
      <w:r>
        <w:rPr>
          <w:rFonts w:ascii="Arial" w:hAnsi="Arial" w:cs="Arial"/>
          <w:b/>
          <w:bCs/>
          <w:color w:val="0E101A"/>
          <w:sz w:val="20"/>
          <w:szCs w:val="20"/>
          <w:lang w:eastAsia="zh-CN"/>
        </w:rPr>
        <w:t>Plusminus</w:t>
      </w:r>
      <w:proofErr w:type="spellEnd"/>
      <w:r>
        <w:rPr>
          <w:rFonts w:ascii="Arial" w:hAnsi="Arial" w:cs="Arial"/>
          <w:b/>
          <w:bCs/>
          <w:color w:val="0E101A"/>
          <w:sz w:val="20"/>
          <w:szCs w:val="20"/>
          <w:lang w:eastAsia="zh-CN"/>
        </w:rPr>
        <w:t xml:space="preserve">. </w:t>
      </w:r>
      <w:r>
        <w:rPr>
          <w:rFonts w:ascii="Arial" w:hAnsi="Arial" w:cs="Arial"/>
          <w:color w:val="0E101A"/>
          <w:sz w:val="20"/>
          <w:szCs w:val="20"/>
          <w:lang w:eastAsia="zh-CN"/>
        </w:rPr>
        <w:t xml:space="preserve">L’extrait est visionnable </w:t>
      </w:r>
      <w:hyperlink r:id="rId15" w:history="1">
        <w:r>
          <w:rPr>
            <w:rStyle w:val="Lienhypertexte"/>
            <w:rFonts w:ascii="Arial" w:hAnsi="Arial" w:cs="Arial"/>
            <w:sz w:val="20"/>
            <w:szCs w:val="20"/>
            <w:lang w:eastAsia="zh-CN"/>
          </w:rPr>
          <w:t>ici</w:t>
        </w:r>
      </w:hyperlink>
      <w:r>
        <w:rPr>
          <w:rFonts w:ascii="Arial" w:hAnsi="Arial" w:cs="Arial"/>
          <w:color w:val="0E101A"/>
          <w:sz w:val="20"/>
          <w:szCs w:val="20"/>
          <w:lang w:eastAsia="zh-CN"/>
        </w:rPr>
        <w:t>.</w:t>
      </w:r>
    </w:p>
    <w:p w14:paraId="1BBF7D2F" w14:textId="77777777" w:rsidR="001E629D" w:rsidRPr="001E629D" w:rsidRDefault="001E629D" w:rsidP="001E629D">
      <w:pPr>
        <w:spacing w:after="0" w:line="240" w:lineRule="auto"/>
        <w:jc w:val="both"/>
      </w:pPr>
      <w:r>
        <w:rPr>
          <w:rFonts w:ascii="Arial" w:hAnsi="Arial" w:cs="Arial"/>
          <w:color w:val="0E101A"/>
          <w:sz w:val="20"/>
          <w:szCs w:val="20"/>
          <w:lang w:eastAsia="zh-CN"/>
        </w:rPr>
        <w:t> </w:t>
      </w:r>
    </w:p>
    <w:p w14:paraId="1C323AA9" w14:textId="77FE8C37" w:rsidR="001E629D" w:rsidRPr="001E629D" w:rsidRDefault="001E629D" w:rsidP="001E629D">
      <w:pPr>
        <w:spacing w:before="100" w:beforeAutospacing="1" w:after="100" w:afterAutospacing="1" w:line="240" w:lineRule="auto"/>
      </w:pPr>
      <w:r>
        <w:rPr>
          <w:rFonts w:ascii="Arial" w:hAnsi="Arial" w:cs="Arial"/>
          <w:sz w:val="20"/>
          <w:szCs w:val="20"/>
          <w:lang w:eastAsia="zh-CN"/>
        </w:rPr>
        <w:t>Meilleurs vœux,</w:t>
      </w:r>
      <w:r>
        <w:rPr>
          <w:rFonts w:ascii="Arial" w:hAnsi="Arial" w:cs="Arial"/>
          <w:sz w:val="20"/>
          <w:szCs w:val="20"/>
          <w:lang w:eastAsia="zh-CN"/>
        </w:rPr>
        <w:br/>
      </w:r>
      <w:r>
        <w:rPr>
          <w:rFonts w:ascii="Arial" w:hAnsi="Arial" w:cs="Arial"/>
          <w:sz w:val="20"/>
          <w:szCs w:val="20"/>
          <w:lang w:eastAsia="zh-CN"/>
        </w:rPr>
        <w:br/>
        <w:t>EFCTC</w:t>
      </w:r>
      <w:r>
        <w:rPr>
          <w:rFonts w:ascii="Arial" w:hAnsi="Arial" w:cs="Arial"/>
          <w:sz w:val="20"/>
          <w:szCs w:val="20"/>
          <w:lang w:eastAsia="zh-CN"/>
        </w:rPr>
        <w:br/>
      </w:r>
      <w:hyperlink r:id="rId16" w:history="1">
        <w:r>
          <w:rPr>
            <w:rStyle w:val="Lienhypertexte"/>
            <w:rFonts w:ascii="Arial" w:hAnsi="Arial" w:cs="Arial"/>
            <w:color w:val="0000FF"/>
            <w:sz w:val="20"/>
            <w:szCs w:val="20"/>
            <w:lang w:eastAsia="zh-CN"/>
          </w:rPr>
          <w:t>stopillegalcooling.eu</w:t>
        </w:r>
      </w:hyperlink>
      <w:r>
        <w:rPr>
          <w:rFonts w:ascii="Arial" w:hAnsi="Arial" w:cs="Arial"/>
          <w:sz w:val="20"/>
          <w:szCs w:val="20"/>
          <w:lang w:eastAsia="zh-CN"/>
        </w:rPr>
        <w:br/>
      </w:r>
      <w:r>
        <w:rPr>
          <w:rFonts w:ascii="Arial" w:hAnsi="Arial" w:cs="Arial"/>
          <w:sz w:val="20"/>
          <w:szCs w:val="20"/>
          <w:lang w:eastAsia="zh-CN"/>
        </w:rPr>
        <w:br/>
        <w:t>Groupe sectoriel du Conseil européen de l'industrie chimique (</w:t>
      </w:r>
      <w:proofErr w:type="spellStart"/>
      <w:r>
        <w:rPr>
          <w:rFonts w:ascii="Arial" w:hAnsi="Arial" w:cs="Arial"/>
          <w:sz w:val="20"/>
          <w:szCs w:val="20"/>
          <w:lang w:eastAsia="zh-CN"/>
        </w:rPr>
        <w:t>Cefic</w:t>
      </w:r>
      <w:proofErr w:type="spellEnd"/>
      <w:r>
        <w:rPr>
          <w:rFonts w:ascii="Arial" w:hAnsi="Arial" w:cs="Arial"/>
          <w:sz w:val="20"/>
          <w:szCs w:val="20"/>
          <w:lang w:eastAsia="zh-CN"/>
        </w:rPr>
        <w:t>)</w:t>
      </w:r>
      <w:r>
        <w:rPr>
          <w:rFonts w:ascii="Arial" w:hAnsi="Arial" w:cs="Arial"/>
          <w:sz w:val="20"/>
          <w:szCs w:val="20"/>
          <w:lang w:eastAsia="zh-CN"/>
        </w:rPr>
        <w:br/>
        <w:t>Registre de transparence de l'UE n° 64879142323-90</w:t>
      </w:r>
    </w:p>
    <w:p w14:paraId="4FD0B6AA" w14:textId="55896B6E" w:rsidR="00ED46F0" w:rsidRDefault="001E629D">
      <w:r>
        <w:rPr>
          <w:noProof/>
          <w:lang w:val="en-US"/>
        </w:rPr>
        <w:drawing>
          <wp:inline distT="0" distB="0" distL="0" distR="0" wp14:anchorId="13EB48A9" wp14:editId="6ED22710">
            <wp:extent cx="4037441" cy="4829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46536" cy="4840054"/>
                    </a:xfrm>
                    <a:prstGeom prst="rect">
                      <a:avLst/>
                    </a:prstGeom>
                    <a:noFill/>
                    <a:ln>
                      <a:noFill/>
                    </a:ln>
                  </pic:spPr>
                </pic:pic>
              </a:graphicData>
            </a:graphic>
          </wp:inline>
        </w:drawing>
      </w:r>
    </w:p>
    <w:sectPr w:rsidR="00ED46F0" w:rsidSect="001E629D">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3446E"/>
    <w:multiLevelType w:val="hybridMultilevel"/>
    <w:tmpl w:val="CB46CD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76E0519E"/>
    <w:multiLevelType w:val="multilevel"/>
    <w:tmpl w:val="DF94F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9D"/>
    <w:rsid w:val="001E629D"/>
    <w:rsid w:val="00ED46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A0BF"/>
  <w15:chartTrackingRefBased/>
  <w15:docId w15:val="{4D9CA643-6258-4B9A-8B63-E8C9B4EE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9D"/>
    <w:pPr>
      <w:spacing w:line="254"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E62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5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lingpost.com/world-news/refrigerant-found-amongst-smuggled-tobacco/" TargetMode="External"/><Relationship Id="rId13" Type="http://schemas.openxmlformats.org/officeDocument/2006/relationships/hyperlink" Target="https://stopillegalcooling.eu/" TargetMode="External"/><Relationship Id="rId18" Type="http://schemas.openxmlformats.org/officeDocument/2006/relationships/image" Target="cid:image004.png@01D7AA36.C58850C0" TargetMode="External"/><Relationship Id="rId3" Type="http://schemas.openxmlformats.org/officeDocument/2006/relationships/settings" Target="settings.xml"/><Relationship Id="rId7" Type="http://schemas.openxmlformats.org/officeDocument/2006/relationships/hyperlink" Target="https://www.coolingpost.com/world-news/greek-customs-seize-17200kg-of-illegal-hfc-refrigerant/" TargetMode="External"/><Relationship Id="rId12" Type="http://schemas.openxmlformats.org/officeDocument/2006/relationships/hyperlink" Target="https://urldefense.com/v3/__https:/ec.europa.eu/info/law/better-regulation/have-your-say/initiatives/12895-HFC-greenhouse-gases-registration-requirements-updated__;!!BupLon6U!-tbrUGmhpheqWrhYkmZ6m7Jpc8MWqzjWz07TmKvnOvs9donzmSQERrtC-ZD-MRq2XUrblzw$"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topillegalcooling.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c.europa.eu/anti-fraud/media-corner/news/15-07-2021/fraud-against-environment-olaf-and-spanish-authorities-bust-traffic_en" TargetMode="External"/><Relationship Id="rId11" Type="http://schemas.openxmlformats.org/officeDocument/2006/relationships/hyperlink" Target="https://stopillegalcooling.eu/wp-content/uploads/Statement-for-German-Chemical-Act.pdf" TargetMode="External"/><Relationship Id="rId5" Type="http://schemas.openxmlformats.org/officeDocument/2006/relationships/hyperlink" Target="https://stopillegalcooling.eu/data/" TargetMode="External"/><Relationship Id="rId15" Type="http://schemas.openxmlformats.org/officeDocument/2006/relationships/hyperlink" Target="https://www.daserste.de/information/wirtschaft-boerse/plusminus/videos/plusminus-schmuggel-klimagase-video-100.html" TargetMode="External"/><Relationship Id="rId10" Type="http://schemas.openxmlformats.org/officeDocument/2006/relationships/hyperlink" Target="https://efctc.integritylin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wsj.com/articles/black-market-undercuts-green-targets-for-air-conditioners-refrigerators-in-europe-11622804684?mod=hp_lista_pos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5881</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CLAIR</dc:creator>
  <cp:keywords/>
  <dc:description/>
  <cp:lastModifiedBy>Yves CLAIR</cp:lastModifiedBy>
  <cp:revision>1</cp:revision>
  <dcterms:created xsi:type="dcterms:W3CDTF">2021-09-17T06:38:00Z</dcterms:created>
  <dcterms:modified xsi:type="dcterms:W3CDTF">2021-09-17T06:42:00Z</dcterms:modified>
</cp:coreProperties>
</file>